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0C" w:rsidRPr="00A76750" w:rsidRDefault="00A76750" w:rsidP="00A76750">
      <w:pPr>
        <w:jc w:val="center"/>
        <w:rPr>
          <w:b/>
          <w:sz w:val="32"/>
          <w:szCs w:val="32"/>
        </w:rPr>
      </w:pPr>
      <w:r w:rsidRPr="00A76750">
        <w:rPr>
          <w:rFonts w:hint="eastAsia"/>
          <w:b/>
          <w:sz w:val="32"/>
          <w:szCs w:val="32"/>
        </w:rPr>
        <w:t>高齢化進む日本理想の年金制度は？</w:t>
      </w:r>
    </w:p>
    <w:p w:rsidR="00A76750" w:rsidRDefault="00A76750" w:rsidP="000E43F9">
      <w:pPr>
        <w:ind w:leftChars="100" w:left="240" w:firstLineChars="100" w:firstLine="240"/>
        <w:rPr>
          <w:szCs w:val="24"/>
        </w:rPr>
      </w:pPr>
      <w:r w:rsidRPr="00A76750">
        <w:rPr>
          <w:rFonts w:hint="eastAsia"/>
          <w:szCs w:val="24"/>
        </w:rPr>
        <w:t>理想的な年金制度は</w:t>
      </w:r>
      <w:r>
        <w:rPr>
          <w:rFonts w:hint="eastAsia"/>
          <w:szCs w:val="24"/>
        </w:rPr>
        <w:t>どのようなものか。産学官でつくる一般社団法人「年金綜合研究所」は昨年</w:t>
      </w:r>
      <w:r w:rsidRPr="00D55E58">
        <w:rPr>
          <w:rFonts w:hint="eastAsia"/>
          <w:szCs w:val="24"/>
          <w:eastAsianLayout w:id="1380196096" w:vert="1" w:vertCompress="1"/>
        </w:rPr>
        <w:t>12</w:t>
      </w:r>
      <w:r>
        <w:rPr>
          <w:rFonts w:hint="eastAsia"/>
          <w:szCs w:val="24"/>
        </w:rPr>
        <w:t>月に東京都内で開いたシンポジユウムで、先進国の制度を</w:t>
      </w:r>
      <w:r w:rsidR="000E43F9">
        <w:rPr>
          <w:rFonts w:hint="eastAsia"/>
          <w:szCs w:val="24"/>
        </w:rPr>
        <w:t>比較しながら議論した。</w:t>
      </w:r>
    </w:p>
    <w:p w:rsidR="000E43F9" w:rsidRDefault="000E43F9" w:rsidP="000E43F9">
      <w:pPr>
        <w:ind w:leftChars="100" w:left="240" w:firstLineChars="100" w:firstLine="240"/>
        <w:rPr>
          <w:szCs w:val="24"/>
        </w:rPr>
      </w:pPr>
      <w:r>
        <w:rPr>
          <w:rFonts w:hint="eastAsia"/>
          <w:szCs w:val="24"/>
        </w:rPr>
        <w:t>年金数理人の資格を持つ佐野邦明首席研究員は、日本の制度について</w:t>
      </w:r>
      <w:r w:rsidRPr="00D55E58">
        <w:rPr>
          <w:rFonts w:hint="eastAsia"/>
          <w:b/>
          <w:color w:val="FFFFFF" w:themeColor="background1"/>
          <w:szCs w:val="24"/>
          <w:shd w:val="clear" w:color="auto" w:fill="548DD4" w:themeFill="text2" w:themeFillTint="99"/>
        </w:rPr>
        <w:t>「持続可能性が高い一方、老後の十分な収入確保に課題がある」</w:t>
      </w:r>
      <w:r>
        <w:rPr>
          <w:rFonts w:hint="eastAsia"/>
          <w:szCs w:val="24"/>
        </w:rPr>
        <w:t>と指摘した。</w:t>
      </w:r>
    </w:p>
    <w:p w:rsidR="000E43F9" w:rsidRPr="00D55E58" w:rsidRDefault="000E43F9" w:rsidP="000E43F9">
      <w:pPr>
        <w:ind w:leftChars="100" w:left="240" w:firstLineChars="100" w:firstLine="240"/>
        <w:rPr>
          <w:b/>
          <w:color w:val="FFFFFF" w:themeColor="background1"/>
          <w:szCs w:val="24"/>
          <w:shd w:val="clear" w:color="auto" w:fill="E36C0A" w:themeFill="accent6" w:themeFillShade="BF"/>
        </w:rPr>
      </w:pPr>
      <w:r>
        <w:rPr>
          <w:rFonts w:hint="eastAsia"/>
          <w:szCs w:val="24"/>
        </w:rPr>
        <w:t>昨年</w:t>
      </w:r>
      <w:r w:rsidRPr="00406538">
        <w:rPr>
          <w:rFonts w:hint="eastAsia"/>
          <w:szCs w:val="24"/>
          <w:eastAsianLayout w:id="1376549632" w:vert="1" w:vertCompress="1"/>
        </w:rPr>
        <w:t>12</w:t>
      </w:r>
      <w:r>
        <w:rPr>
          <w:rFonts w:hint="eastAsia"/>
          <w:szCs w:val="24"/>
        </w:rPr>
        <w:t>月に成立した年金制度改革法で支給額を抑制しやすくするなど、日本では年金財政を維持させることが重視されているとみるためだ。会場では、手厚い福祉で知られる</w:t>
      </w:r>
      <w:r w:rsidRPr="00D55E58">
        <w:rPr>
          <w:rFonts w:hint="eastAsia"/>
          <w:b/>
          <w:color w:val="FFFFFF" w:themeColor="background1"/>
          <w:szCs w:val="24"/>
          <w:shd w:val="clear" w:color="auto" w:fill="E36C0A" w:themeFill="accent6" w:themeFillShade="BF"/>
        </w:rPr>
        <w:t>スウェーデンの制度</w:t>
      </w:r>
      <w:r>
        <w:rPr>
          <w:rFonts w:hint="eastAsia"/>
          <w:szCs w:val="24"/>
        </w:rPr>
        <w:t>を紹介する資料が配られた。日本の厚生年金のように所得に応じて保険料や支給額が決まる「所得比例」を基本としながら、</w:t>
      </w:r>
      <w:r w:rsidRPr="00D55E58">
        <w:rPr>
          <w:rFonts w:hint="eastAsia"/>
          <w:b/>
          <w:color w:val="FFFFFF" w:themeColor="background1"/>
          <w:szCs w:val="24"/>
          <w:shd w:val="clear" w:color="auto" w:fill="E36C0A" w:themeFill="accent6" w:themeFillShade="BF"/>
        </w:rPr>
        <w:t>低年金や無年金の人には最低限の支給額を確保する</w:t>
      </w:r>
      <w:r w:rsidR="0004242F" w:rsidRPr="00D55E58">
        <w:rPr>
          <w:rFonts w:hint="eastAsia"/>
          <w:b/>
          <w:color w:val="FFFFFF" w:themeColor="background1"/>
          <w:szCs w:val="24"/>
          <w:shd w:val="clear" w:color="auto" w:fill="E36C0A" w:themeFill="accent6" w:themeFillShade="BF"/>
        </w:rPr>
        <w:t>「保障年金」があるのが特徴だ。</w:t>
      </w:r>
    </w:p>
    <w:p w:rsidR="005027E5" w:rsidRDefault="005027E5" w:rsidP="000E43F9">
      <w:pPr>
        <w:ind w:leftChars="100" w:left="240" w:firstLineChars="100" w:firstLine="240"/>
        <w:rPr>
          <w:szCs w:val="24"/>
        </w:rPr>
      </w:pPr>
    </w:p>
    <w:p w:rsidR="005027E5" w:rsidRDefault="005027E5" w:rsidP="000E43F9">
      <w:pPr>
        <w:ind w:leftChars="100" w:left="240" w:firstLineChars="100" w:firstLine="240"/>
        <w:rPr>
          <w:szCs w:val="24"/>
        </w:rPr>
      </w:pPr>
    </w:p>
    <w:p w:rsidR="005027E5" w:rsidRDefault="005027E5" w:rsidP="000E43F9">
      <w:pPr>
        <w:ind w:leftChars="100" w:left="240" w:firstLineChars="100" w:firstLine="240"/>
        <w:rPr>
          <w:szCs w:val="24"/>
        </w:rPr>
      </w:pPr>
    </w:p>
    <w:p w:rsidR="005027E5" w:rsidRDefault="005027E5" w:rsidP="000E43F9">
      <w:pPr>
        <w:ind w:leftChars="100" w:left="240" w:firstLineChars="100" w:firstLine="240"/>
        <w:rPr>
          <w:szCs w:val="24"/>
        </w:rPr>
      </w:pPr>
      <w:bookmarkStart w:id="0" w:name="_GoBack"/>
      <w:bookmarkEnd w:id="0"/>
    </w:p>
    <w:p w:rsidR="005027E5" w:rsidRDefault="005027E5" w:rsidP="000E43F9">
      <w:pPr>
        <w:ind w:leftChars="100" w:left="240" w:firstLineChars="100" w:firstLine="240"/>
        <w:rPr>
          <w:szCs w:val="24"/>
        </w:rPr>
      </w:pPr>
    </w:p>
    <w:p w:rsidR="005027E5" w:rsidRDefault="005027E5" w:rsidP="000E43F9">
      <w:pPr>
        <w:ind w:leftChars="100" w:left="240" w:firstLineChars="100" w:firstLine="240"/>
        <w:rPr>
          <w:szCs w:val="24"/>
        </w:rPr>
      </w:pPr>
    </w:p>
    <w:p w:rsidR="005027E5" w:rsidRDefault="005027E5" w:rsidP="000E43F9">
      <w:pPr>
        <w:ind w:leftChars="100" w:left="240" w:firstLineChars="100" w:firstLine="240"/>
        <w:rPr>
          <w:szCs w:val="24"/>
        </w:rPr>
      </w:pPr>
    </w:p>
    <w:p w:rsidR="005027E5" w:rsidRDefault="005027E5" w:rsidP="000E43F9">
      <w:pPr>
        <w:ind w:leftChars="100" w:left="240" w:firstLineChars="100" w:firstLine="240"/>
        <w:rPr>
          <w:szCs w:val="24"/>
        </w:rPr>
      </w:pPr>
    </w:p>
    <w:p w:rsidR="005027E5" w:rsidRDefault="005027E5" w:rsidP="000E43F9">
      <w:pPr>
        <w:ind w:leftChars="100" w:left="240" w:firstLineChars="100" w:firstLine="240"/>
        <w:rPr>
          <w:szCs w:val="24"/>
        </w:rPr>
      </w:pPr>
    </w:p>
    <w:p w:rsidR="005027E5" w:rsidRDefault="005027E5" w:rsidP="000E43F9">
      <w:pPr>
        <w:ind w:leftChars="100" w:left="240" w:firstLineChars="100" w:firstLine="240"/>
        <w:rPr>
          <w:szCs w:val="24"/>
        </w:rPr>
      </w:pPr>
    </w:p>
    <w:p w:rsidR="005027E5" w:rsidRDefault="005027E5" w:rsidP="000E43F9">
      <w:pPr>
        <w:ind w:leftChars="100" w:left="240" w:firstLineChars="100" w:firstLine="240"/>
        <w:rPr>
          <w:szCs w:val="24"/>
        </w:rPr>
      </w:pPr>
    </w:p>
    <w:p w:rsidR="005027E5" w:rsidRDefault="005027E5" w:rsidP="000E43F9">
      <w:pPr>
        <w:ind w:leftChars="100" w:left="240" w:firstLineChars="100" w:firstLine="240"/>
        <w:rPr>
          <w:szCs w:val="24"/>
        </w:rPr>
      </w:pPr>
    </w:p>
    <w:p w:rsidR="005027E5" w:rsidRDefault="005027E5" w:rsidP="000E43F9">
      <w:pPr>
        <w:ind w:leftChars="100" w:left="240" w:firstLineChars="100" w:firstLine="240"/>
        <w:rPr>
          <w:szCs w:val="24"/>
        </w:rPr>
      </w:pPr>
    </w:p>
    <w:p w:rsidR="005027E5" w:rsidRDefault="005027E5" w:rsidP="000E43F9">
      <w:pPr>
        <w:ind w:leftChars="100" w:left="240" w:firstLineChars="100" w:firstLine="240"/>
        <w:rPr>
          <w:szCs w:val="24"/>
        </w:rPr>
      </w:pPr>
    </w:p>
    <w:p w:rsidR="005027E5" w:rsidRDefault="00D55E58" w:rsidP="000E43F9">
      <w:pPr>
        <w:ind w:leftChars="100" w:left="240" w:firstLineChars="100" w:firstLine="240"/>
        <w:rPr>
          <w:szCs w:val="24"/>
        </w:rPr>
      </w:pPr>
      <w:r w:rsidRPr="00A76750">
        <w:rPr>
          <w:noProof/>
          <w:szCs w:val="24"/>
        </w:rPr>
        <w:drawing>
          <wp:anchor distT="0" distB="0" distL="114300" distR="114300" simplePos="0" relativeHeight="251661312" behindDoc="0" locked="0" layoutInCell="1" allowOverlap="1" wp14:anchorId="7478793F" wp14:editId="4CD05BE6">
            <wp:simplePos x="0" y="0"/>
            <wp:positionH relativeFrom="column">
              <wp:posOffset>-166370</wp:posOffset>
            </wp:positionH>
            <wp:positionV relativeFrom="paragraph">
              <wp:posOffset>264795</wp:posOffset>
            </wp:positionV>
            <wp:extent cx="3362325" cy="3236595"/>
            <wp:effectExtent l="0" t="0" r="9525"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4957C.tmp"/>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362325" cy="3236595"/>
                    </a:xfrm>
                    <a:prstGeom prst="rect">
                      <a:avLst/>
                    </a:prstGeom>
                  </pic:spPr>
                </pic:pic>
              </a:graphicData>
            </a:graphic>
            <wp14:sizeRelH relativeFrom="page">
              <wp14:pctWidth>0</wp14:pctWidth>
            </wp14:sizeRelH>
            <wp14:sizeRelV relativeFrom="page">
              <wp14:pctHeight>0</wp14:pctHeight>
            </wp14:sizeRelV>
          </wp:anchor>
        </w:drawing>
      </w:r>
      <w:r w:rsidR="00A927A4">
        <w:rPr>
          <w:noProof/>
          <w:szCs w:val="24"/>
        </w:rPr>
        <mc:AlternateContent>
          <mc:Choice Requires="wps">
            <w:drawing>
              <wp:anchor distT="0" distB="0" distL="114300" distR="114300" simplePos="0" relativeHeight="251660288" behindDoc="0" locked="0" layoutInCell="1" allowOverlap="1" wp14:anchorId="0A86B927" wp14:editId="6D79CB48">
                <wp:simplePos x="0" y="0"/>
                <wp:positionH relativeFrom="column">
                  <wp:posOffset>-166370</wp:posOffset>
                </wp:positionH>
                <wp:positionV relativeFrom="paragraph">
                  <wp:posOffset>4878705</wp:posOffset>
                </wp:positionV>
                <wp:extent cx="69056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1pt,384.15pt" to="530.65pt,3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" strokecolor="black [3040]"/>
            </w:pict>
          </mc:Fallback>
        </mc:AlternateContent>
      </w:r>
    </w:p>
    <w:p w:rsidR="00406538" w:rsidRDefault="00406538" w:rsidP="00A927A4">
      <w:pPr>
        <w:rPr>
          <w:szCs w:val="24"/>
        </w:rPr>
      </w:pPr>
      <w:r>
        <w:rPr>
          <w:rFonts w:hint="eastAsia"/>
          <w:szCs w:val="24"/>
        </w:rPr>
        <w:lastRenderedPageBreak/>
        <w:t>厚生労働省によると、</w:t>
      </w:r>
      <w:r w:rsidR="00D55E58">
        <w:rPr>
          <w:rFonts w:hint="eastAsia"/>
          <w:szCs w:val="24"/>
        </w:rPr>
        <w:t>保証年金は２０１５年で月額約</w:t>
      </w:r>
      <w:r w:rsidR="00D55E58" w:rsidRPr="00D55E58">
        <w:rPr>
          <w:rFonts w:hint="eastAsia"/>
          <w:w w:val="67"/>
          <w:szCs w:val="24"/>
          <w:eastAsianLayout w:id="1380198144" w:vert="1" w:vertCompress="1"/>
        </w:rPr>
        <w:t>１１</w:t>
      </w:r>
      <w:r>
        <w:rPr>
          <w:rFonts w:hint="eastAsia"/>
          <w:szCs w:val="24"/>
        </w:rPr>
        <w:t>万円が支給される。受給条件は居住要件がある程度で緩やか。貧困に陥りにくい仕組みだ。財源はすべて税金で、スウェーデンの付加価値税（消費税）は</w:t>
      </w:r>
      <w:r w:rsidRPr="00406538">
        <w:rPr>
          <w:rFonts w:hint="eastAsia"/>
          <w:w w:val="67"/>
          <w:szCs w:val="24"/>
          <w:eastAsianLayout w:id="1376550914" w:vert="1" w:vertCompress="1"/>
        </w:rPr>
        <w:t>２５</w:t>
      </w:r>
      <w:r>
        <w:rPr>
          <w:rFonts w:hint="eastAsia"/>
          <w:szCs w:val="24"/>
        </w:rPr>
        <w:t>％。</w:t>
      </w:r>
      <w:r w:rsidRPr="00406538">
        <w:rPr>
          <w:rFonts w:hint="eastAsia"/>
          <w:w w:val="67"/>
          <w:szCs w:val="24"/>
          <w:eastAsianLayout w:id="1376550913" w:vert="1" w:vertCompress="1"/>
        </w:rPr>
        <w:t>１３</w:t>
      </w:r>
      <w:r>
        <w:rPr>
          <w:rFonts w:hint="eastAsia"/>
          <w:szCs w:val="24"/>
        </w:rPr>
        <w:t>年の国民負担率（国民所得に占める税と社会保険料の割合）は</w:t>
      </w:r>
      <w:r w:rsidR="002C2F79" w:rsidRPr="002C2F79">
        <w:rPr>
          <w:rFonts w:hint="eastAsia"/>
          <w:szCs w:val="24"/>
          <w:eastAsianLayout w:id="1381126656" w:vert="1" w:vertCompress="1"/>
        </w:rPr>
        <w:t>55</w:t>
      </w:r>
      <w:r w:rsidR="002C2F79">
        <w:rPr>
          <w:rFonts w:hint="eastAsia"/>
          <w:szCs w:val="24"/>
        </w:rPr>
        <w:t>・</w:t>
      </w:r>
      <w:r>
        <w:rPr>
          <w:rFonts w:hint="eastAsia"/>
          <w:szCs w:val="24"/>
        </w:rPr>
        <w:t>７％</w:t>
      </w:r>
      <w:r w:rsidR="005027E5">
        <w:rPr>
          <w:rFonts w:hint="eastAsia"/>
          <w:szCs w:val="24"/>
        </w:rPr>
        <w:t>で日本の</w:t>
      </w:r>
      <w:r w:rsidR="005027E5" w:rsidRPr="005027E5">
        <w:rPr>
          <w:rFonts w:hint="eastAsia"/>
          <w:w w:val="67"/>
          <w:szCs w:val="24"/>
          <w:eastAsianLayout w:id="1376552192" w:vert="1" w:vertCompress="1"/>
        </w:rPr>
        <w:t>４１</w:t>
      </w:r>
      <w:r w:rsidR="005027E5">
        <w:rPr>
          <w:rFonts w:hint="eastAsia"/>
          <w:szCs w:val="24"/>
        </w:rPr>
        <w:t>．６％より高い。</w:t>
      </w:r>
    </w:p>
    <w:p w:rsidR="00A927A4" w:rsidRDefault="00A927A4" w:rsidP="00A927A4">
      <w:pPr>
        <w:rPr>
          <w:szCs w:val="24"/>
        </w:rPr>
      </w:pPr>
      <w:r>
        <w:rPr>
          <w:rFonts w:hint="eastAsia"/>
          <w:szCs w:val="24"/>
        </w:rPr>
        <w:t xml:space="preserve">　年金の保険料率は</w:t>
      </w:r>
      <w:r w:rsidR="00D55E58" w:rsidRPr="00D55E58">
        <w:rPr>
          <w:rFonts w:hint="eastAsia"/>
          <w:w w:val="67"/>
          <w:szCs w:val="24"/>
          <w:eastAsianLayout w:id="1380198400" w:vert="1" w:vertCompress="1"/>
        </w:rPr>
        <w:t>１８</w:t>
      </w:r>
      <w:r w:rsidR="00D55E58">
        <w:rPr>
          <w:rFonts w:hint="eastAsia"/>
          <w:szCs w:val="24"/>
        </w:rPr>
        <w:t>・</w:t>
      </w:r>
      <w:r w:rsidRPr="00A927A4">
        <w:rPr>
          <w:rFonts w:hint="eastAsia"/>
          <w:szCs w:val="24"/>
          <w:eastAsianLayout w:id="1376939521" w:vert="1" w:vertCompress="1"/>
        </w:rPr>
        <w:t>5</w:t>
      </w:r>
      <w:r w:rsidR="00D55E58">
        <w:rPr>
          <w:rFonts w:hint="eastAsia"/>
          <w:szCs w:val="24"/>
        </w:rPr>
        <w:t>％</w:t>
      </w:r>
      <w:r>
        <w:rPr>
          <w:rFonts w:hint="eastAsia"/>
          <w:szCs w:val="24"/>
        </w:rPr>
        <w:t>で日本の厚生年金と同程度の水準だが、実質的に強制加入の私的年金の負担もある。現役世代の平均的な収入に対する年金の支給額の割合である所得代替率は高く、私的年金も合わせて</w:t>
      </w:r>
      <w:r w:rsidR="00016AE0" w:rsidRPr="00016AE0">
        <w:rPr>
          <w:rFonts w:hint="eastAsia"/>
          <w:w w:val="67"/>
          <w:szCs w:val="24"/>
          <w:eastAsianLayout w:id="1380198656" w:vert="1" w:vertCompress="1"/>
        </w:rPr>
        <w:t>５６</w:t>
      </w:r>
      <w:r w:rsidR="002C2F79">
        <w:rPr>
          <w:rFonts w:hint="eastAsia"/>
          <w:szCs w:val="24"/>
        </w:rPr>
        <w:t>・０</w:t>
      </w:r>
      <w:r>
        <w:rPr>
          <w:rFonts w:hint="eastAsia"/>
          <w:szCs w:val="24"/>
        </w:rPr>
        <w:t>％になる。税と社会保険料両方の高負担で年金を充実させている</w:t>
      </w:r>
      <w:r w:rsidR="002C2F79">
        <w:rPr>
          <w:rFonts w:hint="eastAsia"/>
          <w:szCs w:val="24"/>
        </w:rPr>
        <w:t>。</w:t>
      </w:r>
      <w:r>
        <w:rPr>
          <w:rFonts w:hint="eastAsia"/>
          <w:szCs w:val="24"/>
        </w:rPr>
        <w:t>スウェーデンに対し、ドイツは福祉の観点から税負担を増やして低所得者対策をしている。職種ごとに分かれている年金制度とは別に、高齢者ら向けの「</w:t>
      </w:r>
      <w:r w:rsidR="00AF7894">
        <w:rPr>
          <w:rFonts w:hint="eastAsia"/>
          <w:szCs w:val="24"/>
        </w:rPr>
        <w:t xml:space="preserve">緩やかな生活保護」と言える所得補償制度がある。受給条件は日本の生活保護より緩く、子どもや親が高額所得者でなければ受給可能。　</w:t>
      </w:r>
    </w:p>
    <w:p w:rsidR="00AF7894" w:rsidRDefault="00AF7894" w:rsidP="00A927A4">
      <w:pPr>
        <w:rPr>
          <w:szCs w:val="24"/>
        </w:rPr>
      </w:pPr>
      <w:r>
        <w:rPr>
          <w:rFonts w:hint="eastAsia"/>
          <w:szCs w:val="24"/>
        </w:rPr>
        <w:t xml:space="preserve">　</w:t>
      </w:r>
      <w:r w:rsidRPr="00016AE0">
        <w:rPr>
          <w:rFonts w:hint="eastAsia"/>
          <w:szCs w:val="24"/>
          <w:eastAsianLayout w:id="1380198657" w:vert="1" w:vertCompress="1"/>
        </w:rPr>
        <w:t>65</w:t>
      </w:r>
      <w:r w:rsidR="002C2F79">
        <w:rPr>
          <w:rFonts w:hint="eastAsia"/>
          <w:szCs w:val="24"/>
        </w:rPr>
        <w:t>歳以上の約</w:t>
      </w:r>
      <w:r w:rsidR="00016AE0" w:rsidRPr="00016AE0">
        <w:rPr>
          <w:rFonts w:hint="eastAsia"/>
          <w:w w:val="67"/>
          <w:szCs w:val="24"/>
          <w:eastAsianLayout w:id="1380198912" w:vert="1" w:vertCompress="1"/>
        </w:rPr>
        <w:t>４９</w:t>
      </w:r>
      <w:r>
        <w:rPr>
          <w:rFonts w:hint="eastAsia"/>
          <w:szCs w:val="24"/>
        </w:rPr>
        <w:t>万人(同じ年齢層の２・９％)が受給している。</w:t>
      </w:r>
    </w:p>
    <w:p w:rsidR="00AF7894" w:rsidRDefault="00AF7894" w:rsidP="00A927A4">
      <w:pPr>
        <w:rPr>
          <w:szCs w:val="24"/>
        </w:rPr>
      </w:pPr>
      <w:r>
        <w:rPr>
          <w:rFonts w:hint="eastAsia"/>
          <w:szCs w:val="24"/>
        </w:rPr>
        <w:t>ただ、ドイツの国民負担率も</w:t>
      </w:r>
      <w:r w:rsidRPr="00AF7894">
        <w:rPr>
          <w:rFonts w:hint="eastAsia"/>
          <w:w w:val="67"/>
          <w:szCs w:val="24"/>
          <w:eastAsianLayout w:id="1376944128" w:vert="1" w:vertCompress="1"/>
        </w:rPr>
        <w:t>５２</w:t>
      </w:r>
      <w:r>
        <w:rPr>
          <w:rFonts w:hint="eastAsia"/>
          <w:szCs w:val="24"/>
        </w:rPr>
        <w:t xml:space="preserve">・６％と高い。　</w:t>
      </w:r>
    </w:p>
    <w:p w:rsidR="00AF7894" w:rsidRDefault="00AF7894" w:rsidP="00A927A4">
      <w:pPr>
        <w:rPr>
          <w:szCs w:val="24"/>
        </w:rPr>
      </w:pPr>
      <w:r>
        <w:rPr>
          <w:rFonts w:hint="eastAsia"/>
          <w:szCs w:val="24"/>
        </w:rPr>
        <w:t xml:space="preserve">　日本も、より充実した年金制度を採り入れるなら負担増が避けられない。民主党政権時代には月額</w:t>
      </w:r>
      <w:r w:rsidRPr="00230AE9">
        <w:rPr>
          <w:rFonts w:hint="eastAsia"/>
          <w:szCs w:val="24"/>
          <w:eastAsianLayout w:id="1376944384" w:vert="1" w:vertCompress="1"/>
        </w:rPr>
        <w:t>7</w:t>
      </w:r>
      <w:r>
        <w:rPr>
          <w:rFonts w:hint="eastAsia"/>
          <w:szCs w:val="24"/>
        </w:rPr>
        <w:t>万円の「最低保障年金」の導入を議論したが、最大で年間約</w:t>
      </w:r>
      <w:r w:rsidRPr="00230AE9">
        <w:rPr>
          <w:rFonts w:hint="eastAsia"/>
          <w:szCs w:val="24"/>
          <w:eastAsianLayout w:id="1376944129" w:vert="1" w:vertCompress="1"/>
        </w:rPr>
        <w:t>59</w:t>
      </w:r>
      <w:r>
        <w:rPr>
          <w:rFonts w:hint="eastAsia"/>
          <w:szCs w:val="24"/>
        </w:rPr>
        <w:t>兆円という巨額な財源のメドが立たずに頓挫した。</w:t>
      </w:r>
    </w:p>
    <w:p w:rsidR="00AF7894" w:rsidRPr="00AF7894" w:rsidRDefault="00AF7894" w:rsidP="00A927A4">
      <w:pPr>
        <w:rPr>
          <w:szCs w:val="24"/>
        </w:rPr>
      </w:pPr>
      <w:r>
        <w:rPr>
          <w:rFonts w:hint="eastAsia"/>
          <w:szCs w:val="24"/>
        </w:rPr>
        <w:t xml:space="preserve">　加えて人口に占める</w:t>
      </w:r>
      <w:r w:rsidRPr="00230AE9">
        <w:rPr>
          <w:rFonts w:hint="eastAsia"/>
          <w:szCs w:val="24"/>
          <w:eastAsianLayout w:id="1376944130" w:vert="1" w:vertCompress="1"/>
        </w:rPr>
        <w:t>6</w:t>
      </w:r>
      <w:r w:rsidRPr="00230AE9">
        <w:rPr>
          <w:rFonts w:hint="eastAsia"/>
          <w:b/>
          <w:szCs w:val="24"/>
          <w:eastAsianLayout w:id="1376944130" w:vert="1" w:vertCompress="1"/>
        </w:rPr>
        <w:t>5</w:t>
      </w:r>
      <w:r>
        <w:rPr>
          <w:rFonts w:hint="eastAsia"/>
          <w:szCs w:val="24"/>
        </w:rPr>
        <w:t>歳以上の割合を示す高齢化率が</w:t>
      </w:r>
      <w:r w:rsidRPr="00230AE9">
        <w:rPr>
          <w:rFonts w:hint="eastAsia"/>
          <w:w w:val="67"/>
          <w:szCs w:val="24"/>
          <w:eastAsianLayout w:id="1376944385" w:vert="1" w:vertCompress="1"/>
        </w:rPr>
        <w:t>２６</w:t>
      </w:r>
      <w:r>
        <w:rPr>
          <w:rFonts w:hint="eastAsia"/>
          <w:szCs w:val="24"/>
        </w:rPr>
        <w:t>・７％（</w:t>
      </w:r>
      <w:r w:rsidRPr="00230AE9">
        <w:rPr>
          <w:rFonts w:hint="eastAsia"/>
          <w:szCs w:val="24"/>
          <w:eastAsianLayout w:id="1376944386" w:vert="1" w:vertCompress="1"/>
        </w:rPr>
        <w:t>15</w:t>
      </w:r>
      <w:r>
        <w:rPr>
          <w:rFonts w:hint="eastAsia"/>
          <w:szCs w:val="24"/>
        </w:rPr>
        <w:t>年）と高い。</w:t>
      </w:r>
      <w:r w:rsidRPr="00016AE0">
        <w:rPr>
          <w:rFonts w:hint="eastAsia"/>
          <w:b/>
          <w:color w:val="FFFFFF" w:themeColor="background1"/>
          <w:szCs w:val="24"/>
          <w:shd w:val="clear" w:color="auto" w:fill="5F497A" w:themeFill="accent4" w:themeFillShade="BF"/>
        </w:rPr>
        <w:t>バラ色の解決策は簡単に見つかりそうにない。</w:t>
      </w:r>
    </w:p>
    <w:p w:rsidR="00A927A4" w:rsidRDefault="00A927A4" w:rsidP="006B1076">
      <w:pPr>
        <w:rPr>
          <w:szCs w:val="24"/>
        </w:rPr>
      </w:pPr>
    </w:p>
    <w:p w:rsidR="00A927A4" w:rsidRPr="006B1076" w:rsidRDefault="006B1076" w:rsidP="006B1076">
      <w:pPr>
        <w:ind w:leftChars="100" w:left="240" w:firstLineChars="2300" w:firstLine="4830"/>
        <w:rPr>
          <w:sz w:val="21"/>
          <w:szCs w:val="21"/>
        </w:rPr>
      </w:pPr>
      <w:r w:rsidRPr="006B1076">
        <w:rPr>
          <w:rFonts w:hint="eastAsia"/>
          <w:sz w:val="21"/>
          <w:szCs w:val="21"/>
        </w:rPr>
        <w:t xml:space="preserve">朝日新聞　</w:t>
      </w:r>
      <w:r w:rsidRPr="006B1076">
        <w:rPr>
          <w:rFonts w:hint="eastAsia"/>
          <w:sz w:val="21"/>
          <w:szCs w:val="21"/>
          <w:eastAsianLayout w:id="1381127680" w:vert="1" w:vertCompress="1"/>
        </w:rPr>
        <w:t>1</w:t>
      </w:r>
      <w:r w:rsidRPr="006B1076">
        <w:rPr>
          <w:rFonts w:hint="eastAsia"/>
          <w:sz w:val="21"/>
          <w:szCs w:val="21"/>
        </w:rPr>
        <w:t>月掲載</w:t>
      </w:r>
    </w:p>
    <w:sectPr w:rsidR="00A927A4" w:rsidRPr="006B1076" w:rsidSect="00406538">
      <w:pgSz w:w="11906" w:h="16838" w:code="9"/>
      <w:pgMar w:top="567" w:right="454" w:bottom="567" w:left="454" w:header="851" w:footer="992" w:gutter="0"/>
      <w:cols w:num="2" w:space="425"/>
      <w:textDirection w:val="tbRl"/>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750"/>
    <w:rsid w:val="00016AE0"/>
    <w:rsid w:val="0004242F"/>
    <w:rsid w:val="000E43F9"/>
    <w:rsid w:val="00230AE9"/>
    <w:rsid w:val="002C2F79"/>
    <w:rsid w:val="00406538"/>
    <w:rsid w:val="004C290C"/>
    <w:rsid w:val="005027E5"/>
    <w:rsid w:val="006B1076"/>
    <w:rsid w:val="007D13E6"/>
    <w:rsid w:val="00962B64"/>
    <w:rsid w:val="00A76750"/>
    <w:rsid w:val="00A927A4"/>
    <w:rsid w:val="00AF7894"/>
    <w:rsid w:val="00BB782F"/>
    <w:rsid w:val="00D55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750"/>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7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67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750"/>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7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6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kan.you</dc:creator>
  <cp:lastModifiedBy>AKIYAMA</cp:lastModifiedBy>
  <cp:revision>2</cp:revision>
  <cp:lastPrinted>2017-02-10T00:20:00Z</cp:lastPrinted>
  <dcterms:created xsi:type="dcterms:W3CDTF">2017-02-17T06:14:00Z</dcterms:created>
  <dcterms:modified xsi:type="dcterms:W3CDTF">2017-02-17T06:14:00Z</dcterms:modified>
</cp:coreProperties>
</file>